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D540" w14:textId="77777777" w:rsidR="009F12F8" w:rsidRPr="001344D3" w:rsidRDefault="009F12F8" w:rsidP="009F12F8">
      <w:pPr>
        <w:spacing w:after="0" w:line="240" w:lineRule="auto"/>
        <w:ind w:left="4248" w:firstLine="708"/>
        <w:rPr>
          <w:rFonts w:cs="Calibri"/>
          <w:sz w:val="18"/>
          <w:szCs w:val="18"/>
        </w:rPr>
      </w:pPr>
      <w:r w:rsidRPr="00313C72">
        <w:rPr>
          <w:rFonts w:eastAsia="Times New Roman" w:cs="Calibri"/>
          <w:sz w:val="18"/>
          <w:szCs w:val="18"/>
          <w:lang w:eastAsia="pl-PL"/>
        </w:rPr>
        <w:t xml:space="preserve">Załącznik nr 1 do </w:t>
      </w:r>
      <w:r w:rsidRPr="001344D3">
        <w:rPr>
          <w:rFonts w:cs="Calibri"/>
          <w:sz w:val="18"/>
          <w:szCs w:val="18"/>
        </w:rPr>
        <w:t xml:space="preserve">„Procedury zgłaszania naruszeń prawa </w:t>
      </w:r>
    </w:p>
    <w:p w14:paraId="4C45C188" w14:textId="77777777" w:rsidR="009F12F8" w:rsidRPr="001344D3" w:rsidRDefault="009F12F8" w:rsidP="009F12F8">
      <w:pPr>
        <w:spacing w:after="0" w:line="240" w:lineRule="auto"/>
        <w:ind w:left="4956"/>
        <w:rPr>
          <w:rFonts w:cs="Calibri"/>
          <w:sz w:val="18"/>
          <w:szCs w:val="18"/>
        </w:rPr>
      </w:pPr>
      <w:r w:rsidRPr="001344D3">
        <w:rPr>
          <w:rFonts w:cs="Calibri"/>
          <w:sz w:val="18"/>
          <w:szCs w:val="18"/>
        </w:rPr>
        <w:t xml:space="preserve">i podejmowania działań następczych </w:t>
      </w:r>
    </w:p>
    <w:p w14:paraId="2B1E4A9C" w14:textId="77777777" w:rsidR="009F12F8" w:rsidRPr="001344D3" w:rsidRDefault="009F12F8" w:rsidP="009F12F8">
      <w:pPr>
        <w:spacing w:after="0" w:line="240" w:lineRule="auto"/>
        <w:ind w:left="4956"/>
        <w:rPr>
          <w:rFonts w:cs="Calibri"/>
          <w:sz w:val="18"/>
          <w:szCs w:val="18"/>
        </w:rPr>
      </w:pPr>
      <w:r w:rsidRPr="001344D3">
        <w:rPr>
          <w:rFonts w:cs="Calibri"/>
          <w:sz w:val="18"/>
          <w:szCs w:val="18"/>
        </w:rPr>
        <w:t xml:space="preserve">w Bibliotece Publicznej m.st. Warszawy – </w:t>
      </w:r>
    </w:p>
    <w:p w14:paraId="44211219" w14:textId="77777777" w:rsidR="009F12F8" w:rsidRPr="00313C72" w:rsidRDefault="009F12F8" w:rsidP="009F12F8">
      <w:pPr>
        <w:spacing w:after="0" w:line="240" w:lineRule="auto"/>
        <w:ind w:left="4956"/>
        <w:rPr>
          <w:rFonts w:eastAsia="Times New Roman" w:cs="Calibri"/>
          <w:sz w:val="18"/>
          <w:szCs w:val="18"/>
          <w:lang w:eastAsia="pl-PL"/>
        </w:rPr>
      </w:pPr>
      <w:r w:rsidRPr="001344D3">
        <w:rPr>
          <w:rFonts w:cs="Calibri"/>
          <w:sz w:val="18"/>
          <w:szCs w:val="18"/>
        </w:rPr>
        <w:t>Bibliotece Głównej Województwa Mazowieckiego”</w:t>
      </w:r>
    </w:p>
    <w:p w14:paraId="43C0113D" w14:textId="77777777" w:rsidR="009F12F8" w:rsidRPr="006A251A" w:rsidRDefault="009F12F8" w:rsidP="009F12F8">
      <w:pPr>
        <w:spacing w:after="0" w:line="240" w:lineRule="auto"/>
        <w:rPr>
          <w:rStyle w:val="Ppogrubienie"/>
          <w:rFonts w:eastAsia="Times New Roman" w:cs="Calibri"/>
          <w:b w:val="0"/>
          <w:sz w:val="20"/>
          <w:szCs w:val="20"/>
          <w:lang w:eastAsia="pl-PL"/>
        </w:rPr>
      </w:pPr>
    </w:p>
    <w:p w14:paraId="3A6227EE" w14:textId="77777777" w:rsidR="009F12F8" w:rsidRPr="00A80458" w:rsidRDefault="009F12F8" w:rsidP="009F12F8">
      <w:pPr>
        <w:jc w:val="center"/>
        <w:rPr>
          <w:rStyle w:val="Ppogrubienie"/>
          <w:sz w:val="24"/>
          <w:szCs w:val="24"/>
        </w:rPr>
      </w:pPr>
      <w:r w:rsidRPr="00A80458">
        <w:rPr>
          <w:rStyle w:val="Ppogrubienie"/>
          <w:sz w:val="24"/>
          <w:szCs w:val="24"/>
        </w:rPr>
        <w:t xml:space="preserve">FORMULARZ </w:t>
      </w:r>
      <w:r>
        <w:rPr>
          <w:rStyle w:val="Ppogrubienie"/>
          <w:sz w:val="24"/>
          <w:szCs w:val="24"/>
        </w:rPr>
        <w:t xml:space="preserve"> </w:t>
      </w:r>
      <w:r w:rsidRPr="00A80458">
        <w:rPr>
          <w:rStyle w:val="Ppogrubienie"/>
          <w:sz w:val="24"/>
          <w:szCs w:val="24"/>
        </w:rPr>
        <w:t>ZGŁOSZENIA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0046"/>
      </w:tblGrid>
      <w:tr w:rsidR="009F12F8" w:rsidRPr="001344D3" w14:paraId="1A03EB92" w14:textId="77777777" w:rsidTr="000B5630">
        <w:tc>
          <w:tcPr>
            <w:tcW w:w="444" w:type="dxa"/>
            <w:shd w:val="clear" w:color="auto" w:fill="auto"/>
          </w:tcPr>
          <w:p w14:paraId="62A295F9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12605A5C" w14:textId="77777777" w:rsidR="009F12F8" w:rsidRPr="001344D3" w:rsidRDefault="009F12F8" w:rsidP="000B5630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Times New Roman" w:cs="Calibri"/>
                <w:lang w:eastAsia="pl-PL"/>
              </w:rPr>
              <w:t>Imię i nazwisko Sygnalisty (komórka organizacyjna, podmiot realizujący usługę, dostawę):</w:t>
            </w:r>
          </w:p>
          <w:p w14:paraId="15773A4A" w14:textId="77777777" w:rsidR="009F12F8" w:rsidRPr="001344D3" w:rsidRDefault="009F12F8" w:rsidP="000B5630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9F12F8" w:rsidRPr="001344D3" w14:paraId="5148FC0D" w14:textId="77777777" w:rsidTr="000B5630">
        <w:tc>
          <w:tcPr>
            <w:tcW w:w="444" w:type="dxa"/>
            <w:shd w:val="clear" w:color="auto" w:fill="auto"/>
          </w:tcPr>
          <w:p w14:paraId="23710CD8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430674EA" w14:textId="77777777" w:rsidR="009F12F8" w:rsidRPr="001344D3" w:rsidRDefault="009F12F8" w:rsidP="000B5630">
            <w:pPr>
              <w:spacing w:after="0"/>
              <w:rPr>
                <w:rFonts w:cs="Calibri"/>
              </w:rPr>
            </w:pPr>
            <w:r w:rsidRPr="001344D3">
              <w:rPr>
                <w:rFonts w:cs="Calibri"/>
              </w:rPr>
              <w:t>Status Sygnalisty</w:t>
            </w:r>
            <w:r w:rsidRPr="001344D3">
              <w:rPr>
                <w:rFonts w:cs="Calibri"/>
                <w:b/>
                <w:bCs/>
              </w:rPr>
              <w:t>*</w:t>
            </w:r>
            <w:r w:rsidRPr="001344D3">
              <w:rPr>
                <w:rFonts w:cs="Calibri"/>
              </w:rPr>
              <w:t>:</w:t>
            </w:r>
          </w:p>
          <w:p w14:paraId="69C0028E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pracownik Biblioteki,</w:t>
            </w:r>
          </w:p>
          <w:p w14:paraId="062F01B8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osoba, która była pracownikiem Biblioteki, jednak stosunek pracy już ustał</w:t>
            </w:r>
          </w:p>
          <w:p w14:paraId="5461942F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</w:pPr>
            <w:r w:rsidRPr="001344D3">
              <w:rPr>
                <w:lang w:eastAsia="pl-PL"/>
              </w:rPr>
              <w:t xml:space="preserve">osoba, która uzyskała informację </w:t>
            </w:r>
            <w:r w:rsidRPr="001344D3">
              <w:t>przed nawiązaniem stosunku pracy lub innego stosunku prawnego, stanowiącego podstawę świadczenia pracy na rzecz Biblioteki</w:t>
            </w:r>
          </w:p>
          <w:p w14:paraId="3E7EAC96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osoba świadcząca pracę na innej podstawie niż stosunek pracy, w tym na podstawie umowy cywilnoprawnej</w:t>
            </w:r>
          </w:p>
          <w:p w14:paraId="1CAFC458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t>osobą świadcząca pracę pod nadzorem i kierownictwem wykonawcy, dostawcy, w tym na podstawie umowy cywilnoprawnej</w:t>
            </w:r>
          </w:p>
          <w:p w14:paraId="1E0C333F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wolontariusz</w:t>
            </w:r>
          </w:p>
          <w:p w14:paraId="5516B21B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stażysta</w:t>
            </w:r>
          </w:p>
          <w:p w14:paraId="62BB94D1" w14:textId="77777777" w:rsidR="009F12F8" w:rsidRPr="001344D3" w:rsidRDefault="009F12F8" w:rsidP="000B5630">
            <w:pPr>
              <w:pStyle w:val="Bezodstpw"/>
              <w:numPr>
                <w:ilvl w:val="0"/>
                <w:numId w:val="3"/>
              </w:numPr>
              <w:jc w:val="both"/>
              <w:rPr>
                <w:lang w:eastAsia="pl-PL"/>
              </w:rPr>
            </w:pPr>
            <w:r w:rsidRPr="001344D3">
              <w:rPr>
                <w:lang w:eastAsia="pl-PL"/>
              </w:rPr>
              <w:t>praktykant</w:t>
            </w:r>
          </w:p>
        </w:tc>
      </w:tr>
      <w:tr w:rsidR="009F12F8" w:rsidRPr="001344D3" w14:paraId="535A6BC2" w14:textId="77777777" w:rsidTr="000B5630">
        <w:trPr>
          <w:trHeight w:val="650"/>
        </w:trPr>
        <w:tc>
          <w:tcPr>
            <w:tcW w:w="444" w:type="dxa"/>
            <w:shd w:val="clear" w:color="auto" w:fill="auto"/>
          </w:tcPr>
          <w:p w14:paraId="77FA6EAA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5D7457D5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Times New Roman" w:cs="Calibri"/>
                <w:lang w:eastAsia="pl-PL"/>
              </w:rPr>
              <w:t>Dane kontaktowe (adres pocztowy, adres e-mail), preferowana forma kontaktu:</w:t>
            </w:r>
          </w:p>
        </w:tc>
      </w:tr>
      <w:tr w:rsidR="009F12F8" w:rsidRPr="001344D3" w14:paraId="2BEE6238" w14:textId="77777777" w:rsidTr="000B5630">
        <w:tc>
          <w:tcPr>
            <w:tcW w:w="444" w:type="dxa"/>
            <w:shd w:val="clear" w:color="auto" w:fill="auto"/>
          </w:tcPr>
          <w:p w14:paraId="4EE4C219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38F72401" w14:textId="77777777" w:rsidR="009F12F8" w:rsidRPr="00187DC6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cs="Calibri"/>
              </w:rPr>
              <w:t>Wskazanie działania lub zaniechania niezgodnego z prawem lub mającego na celu obejście prawa, z zakresu</w:t>
            </w:r>
            <w:r w:rsidRPr="001344D3">
              <w:rPr>
                <w:rFonts w:eastAsia="Times New Roman" w:cs="Calibri"/>
                <w:b/>
                <w:bCs/>
                <w:lang w:eastAsia="pl-PL"/>
              </w:rPr>
              <w:t>*</w:t>
            </w:r>
            <w:r w:rsidRPr="001344D3">
              <w:rPr>
                <w:rFonts w:eastAsia="Times New Roman" w:cs="Calibri"/>
                <w:lang w:eastAsia="pl-PL"/>
              </w:rPr>
              <w:t xml:space="preserve">:  </w:t>
            </w:r>
          </w:p>
          <w:p w14:paraId="7C2D1BEB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korupcji</w:t>
            </w:r>
          </w:p>
          <w:p w14:paraId="6994F33D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zamówień publicznych</w:t>
            </w:r>
          </w:p>
          <w:p w14:paraId="12446885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usług, produktów i rynków finansowych</w:t>
            </w:r>
          </w:p>
          <w:p w14:paraId="656A655F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przeciwdziałania praniu pieniędzy oraz finansowaniu terroryzmu</w:t>
            </w:r>
          </w:p>
          <w:p w14:paraId="3DBFCA0C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bezpieczeństwa produktów i ich zgodności z wymogami</w:t>
            </w:r>
          </w:p>
          <w:p w14:paraId="01B714B7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bezpieczeństwa transportu</w:t>
            </w:r>
          </w:p>
          <w:p w14:paraId="67A2689A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ochrony środowiska</w:t>
            </w:r>
          </w:p>
          <w:p w14:paraId="5C93B7A9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ochrony radiologicznej i bezpieczeństwa jądrowego</w:t>
            </w:r>
          </w:p>
          <w:p w14:paraId="29F9A576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bezpieczeństwa żywności i pasz</w:t>
            </w:r>
          </w:p>
          <w:p w14:paraId="694D7C40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zdrowia i dobrostanu zwierząt</w:t>
            </w:r>
          </w:p>
          <w:p w14:paraId="5CA4A207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zdrowia publicznego</w:t>
            </w:r>
          </w:p>
          <w:p w14:paraId="32E8CD45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ochrony konsumentów</w:t>
            </w:r>
          </w:p>
          <w:p w14:paraId="2817AB08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ochrony prywatności i danych osobowych</w:t>
            </w:r>
          </w:p>
          <w:p w14:paraId="2F091904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bezpieczeństwa sieci i systemów teleinformatycznych</w:t>
            </w:r>
          </w:p>
          <w:p w14:paraId="0B117065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interesów finansowych Skarbu Państwa Rzeczypospolitej Polskiej, jednostki samorządu terytorialnego oraz Unii Europejskiej</w:t>
            </w:r>
          </w:p>
          <w:p w14:paraId="3711802C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rynku wewnętrznego Unii Europejskiej, w tym publicznoprawnych zasad konkurencji i pomocy państwa oraz opodatkowania osób prawnych</w:t>
            </w:r>
          </w:p>
          <w:p w14:paraId="356EFBA4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t>konstytucyjnych wolności i praw człowieka i obywatela – występujące w stosunkach jednostki z organami władzy publicznej i niezwiązane z dziedzinami wskazanymi w pkt 1–17</w:t>
            </w:r>
          </w:p>
          <w:p w14:paraId="7DB88C61" w14:textId="77777777" w:rsidR="009F12F8" w:rsidRPr="001344D3" w:rsidRDefault="009F12F8" w:rsidP="000B5630">
            <w:pPr>
              <w:pStyle w:val="Bezodstpw"/>
              <w:numPr>
                <w:ilvl w:val="0"/>
                <w:numId w:val="4"/>
              </w:numPr>
              <w:jc w:val="both"/>
            </w:pPr>
            <w:r w:rsidRPr="001344D3">
              <w:rPr>
                <w:rFonts w:cs="Calibri"/>
              </w:rPr>
              <w:t>naruszenia regulacji wewnętrznych Biblioteki, w tym standardów etycznych, wprowadzonych w Bibliotece</w:t>
            </w:r>
          </w:p>
        </w:tc>
      </w:tr>
      <w:tr w:rsidR="009F12F8" w:rsidRPr="001344D3" w14:paraId="72BC716B" w14:textId="77777777" w:rsidTr="000B5630">
        <w:tc>
          <w:tcPr>
            <w:tcW w:w="444" w:type="dxa"/>
            <w:shd w:val="clear" w:color="auto" w:fill="auto"/>
          </w:tcPr>
          <w:p w14:paraId="733AD748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3361D64D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Times New Roman" w:cs="Calibri"/>
                <w:lang w:eastAsia="pl-PL"/>
              </w:rPr>
              <w:t xml:space="preserve">Wskazanie osoby, której dotyczy zgłoszenie </w:t>
            </w:r>
            <w:r w:rsidRPr="001344D3">
              <w:rPr>
                <w:rFonts w:eastAsia="Times New Roman" w:cs="Calibri"/>
                <w:i/>
                <w:iCs/>
                <w:lang w:eastAsia="pl-PL"/>
              </w:rPr>
              <w:t>(imię i  nazwisko, komórka organizacyjna Biblioteki</w:t>
            </w:r>
            <w:r w:rsidRPr="001344D3">
              <w:rPr>
                <w:rFonts w:eastAsia="Times New Roman" w:cs="Calibri"/>
                <w:lang w:eastAsia="pl-PL"/>
              </w:rPr>
              <w:t>):</w:t>
            </w:r>
          </w:p>
          <w:p w14:paraId="4B67063D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4A6729D3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</w:tr>
      <w:tr w:rsidR="009F12F8" w:rsidRPr="001344D3" w14:paraId="4A3432A3" w14:textId="77777777" w:rsidTr="000B5630">
        <w:tc>
          <w:tcPr>
            <w:tcW w:w="444" w:type="dxa"/>
            <w:shd w:val="clear" w:color="auto" w:fill="auto"/>
          </w:tcPr>
          <w:p w14:paraId="42581A0B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1344D3">
              <w:rPr>
                <w:rFonts w:cs="Calibri"/>
              </w:rPr>
              <w:t xml:space="preserve"> </w:t>
            </w:r>
          </w:p>
        </w:tc>
        <w:tc>
          <w:tcPr>
            <w:tcW w:w="10046" w:type="dxa"/>
            <w:shd w:val="clear" w:color="auto" w:fill="auto"/>
          </w:tcPr>
          <w:p w14:paraId="48EC01B8" w14:textId="77777777" w:rsidR="009F12F8" w:rsidRPr="001344D3" w:rsidRDefault="009F12F8" w:rsidP="000B5630">
            <w:pPr>
              <w:pStyle w:val="Bezodstpw"/>
              <w:rPr>
                <w:lang w:eastAsia="pl-PL"/>
              </w:rPr>
            </w:pPr>
            <w:r w:rsidRPr="001344D3">
              <w:rPr>
                <w:lang w:eastAsia="pl-PL"/>
              </w:rPr>
              <w:t xml:space="preserve">Data i miejsce wystąpienia zgłaszanych nieprawidłowości lub data i miejsce pozyskania informacji </w:t>
            </w:r>
            <w:r w:rsidRPr="001344D3">
              <w:rPr>
                <w:lang w:eastAsia="pl-PL"/>
              </w:rPr>
              <w:br/>
              <w:t>o nieprawidłowościach:</w:t>
            </w:r>
          </w:p>
          <w:p w14:paraId="210AD500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379A1CB8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2E4C8FC5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9F12F8" w:rsidRPr="001344D3" w14:paraId="4BAFB4C1" w14:textId="77777777" w:rsidTr="000B5630">
        <w:tc>
          <w:tcPr>
            <w:tcW w:w="444" w:type="dxa"/>
            <w:shd w:val="clear" w:color="auto" w:fill="auto"/>
          </w:tcPr>
          <w:p w14:paraId="4F876849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18B8A6E4" w14:textId="77777777" w:rsidR="009F12F8" w:rsidRPr="001344D3" w:rsidRDefault="009F12F8" w:rsidP="000B5630">
            <w:pPr>
              <w:spacing w:after="0" w:line="240" w:lineRule="auto"/>
              <w:jc w:val="both"/>
            </w:pPr>
            <w:r w:rsidRPr="001344D3">
              <w:t>Opis zdarzeń.</w:t>
            </w:r>
          </w:p>
          <w:p w14:paraId="7EE741A8" w14:textId="77777777" w:rsidR="009F12F8" w:rsidRPr="001344D3" w:rsidRDefault="009F12F8" w:rsidP="000B5630">
            <w:pPr>
              <w:spacing w:after="0" w:line="240" w:lineRule="auto"/>
              <w:jc w:val="both"/>
              <w:rPr>
                <w:rFonts w:eastAsia="Times New Roman" w:cs="Calibri"/>
                <w:sz w:val="21"/>
                <w:szCs w:val="21"/>
                <w:lang w:eastAsia="pl-PL"/>
              </w:rPr>
            </w:pPr>
            <w:r w:rsidRPr="001344D3">
              <w:rPr>
                <w:sz w:val="21"/>
                <w:szCs w:val="21"/>
              </w:rPr>
              <w:t xml:space="preserve">Należy opisać zdarzenie lub zdarzenia, które wskazują na podejrzenie wystąpienia zachowań niepożądanych, prowadzących do naruszenia prawa. Należy opisać każde zdarzenie niepożądane, datę jego wystąpienia, oraz ewentualne skutki jakie wywołało.   </w:t>
            </w:r>
          </w:p>
          <w:p w14:paraId="08CEB927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7DA1CF07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439032C8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0DF90A96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2617CD7F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7A335308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1E054834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</w:tr>
      <w:tr w:rsidR="009F12F8" w:rsidRPr="001344D3" w14:paraId="4C71865A" w14:textId="77777777" w:rsidTr="000B5630">
        <w:tc>
          <w:tcPr>
            <w:tcW w:w="444" w:type="dxa"/>
            <w:shd w:val="clear" w:color="auto" w:fill="auto"/>
          </w:tcPr>
          <w:p w14:paraId="2EB61CFE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1B82FDB0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Times New Roman" w:cs="Calibri"/>
                <w:lang w:eastAsia="pl-PL"/>
              </w:rPr>
              <w:t>Wskazanie potencjalnych świadków:</w:t>
            </w:r>
          </w:p>
          <w:p w14:paraId="0B4B125F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SimSun" w:cs="Calibri"/>
                <w:kern w:val="3"/>
                <w:lang w:eastAsia="zh-CN" w:bidi="hi-IN"/>
              </w:rPr>
              <w:t>Imię i nazwisko świadka, stanowisko, miejsce pracy /komórka organizacyjna.</w:t>
            </w:r>
          </w:p>
          <w:p w14:paraId="5A0C7A49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2BBC3011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  <w:p w14:paraId="6D8CC514" w14:textId="77777777" w:rsidR="009F12F8" w:rsidRPr="001344D3" w:rsidRDefault="009F12F8" w:rsidP="000B5630">
            <w:pPr>
              <w:spacing w:after="0" w:line="360" w:lineRule="auto"/>
              <w:rPr>
                <w:rFonts w:eastAsia="Times New Roman" w:cs="Calibri"/>
                <w:lang w:eastAsia="pl-PL"/>
              </w:rPr>
            </w:pPr>
          </w:p>
        </w:tc>
      </w:tr>
      <w:tr w:rsidR="009F12F8" w:rsidRPr="001344D3" w14:paraId="2EB2661E" w14:textId="77777777" w:rsidTr="000B5630">
        <w:tc>
          <w:tcPr>
            <w:tcW w:w="444" w:type="dxa"/>
            <w:shd w:val="clear" w:color="auto" w:fill="auto"/>
          </w:tcPr>
          <w:p w14:paraId="3A3C0EBA" w14:textId="77777777" w:rsidR="009F12F8" w:rsidRPr="001344D3" w:rsidRDefault="009F12F8" w:rsidP="000B56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046" w:type="dxa"/>
            <w:shd w:val="clear" w:color="auto" w:fill="auto"/>
          </w:tcPr>
          <w:p w14:paraId="2D0DBBDB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344D3">
              <w:rPr>
                <w:rFonts w:eastAsia="Times New Roman" w:cs="Calibri"/>
                <w:lang w:eastAsia="pl-PL"/>
              </w:rPr>
              <w:t xml:space="preserve">Wskazanie dowodów i informacji, jakimi dysponuje Sygnalista, które mogą okazać się pomocne w procesie rozpatrywania nieprawidłowości (należy wymienić załączniki: </w:t>
            </w:r>
            <w:r w:rsidRPr="001344D3">
              <w:t>dokumenty, w tym korespondencję e-mail)</w:t>
            </w:r>
          </w:p>
          <w:p w14:paraId="02EC8293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4659F5DA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04398BBC" w14:textId="77777777" w:rsidR="009F12F8" w:rsidRPr="001344D3" w:rsidRDefault="009F12F8" w:rsidP="000B5630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</w:tbl>
    <w:p w14:paraId="0D0456EE" w14:textId="77777777" w:rsidR="009F12F8" w:rsidRPr="00F35BC9" w:rsidRDefault="009F12F8" w:rsidP="009F12F8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A87AD9E" w14:textId="77777777" w:rsidR="009F12F8" w:rsidRPr="00D4486E" w:rsidRDefault="009F12F8" w:rsidP="009F12F8">
      <w:p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D4486E">
        <w:rPr>
          <w:rFonts w:eastAsia="Times New Roman" w:cs="Calibri"/>
          <w:sz w:val="21"/>
          <w:szCs w:val="21"/>
          <w:lang w:eastAsia="pl-PL"/>
        </w:rPr>
        <w:t xml:space="preserve">Oświadczam, że dokonując niniejszego </w:t>
      </w:r>
      <w:r>
        <w:rPr>
          <w:rFonts w:eastAsia="Times New Roman" w:cs="Calibri"/>
          <w:sz w:val="21"/>
          <w:szCs w:val="21"/>
          <w:lang w:eastAsia="pl-PL"/>
        </w:rPr>
        <w:t>z</w:t>
      </w:r>
      <w:r w:rsidRPr="00D4486E">
        <w:rPr>
          <w:rFonts w:eastAsia="Times New Roman" w:cs="Calibri"/>
          <w:sz w:val="21"/>
          <w:szCs w:val="21"/>
          <w:lang w:eastAsia="pl-PL"/>
        </w:rPr>
        <w:t>głoszenia:</w:t>
      </w:r>
    </w:p>
    <w:p w14:paraId="421C7957" w14:textId="77777777" w:rsidR="009F12F8" w:rsidRPr="00D4486E" w:rsidRDefault="009F12F8" w:rsidP="009F12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D4486E">
        <w:rPr>
          <w:rFonts w:eastAsia="Times New Roman" w:cs="Calibri"/>
          <w:sz w:val="21"/>
          <w:szCs w:val="21"/>
          <w:lang w:eastAsia="pl-PL"/>
        </w:rPr>
        <w:t>działam w dobrej wierze;</w:t>
      </w:r>
    </w:p>
    <w:p w14:paraId="5967CAA8" w14:textId="77777777" w:rsidR="009F12F8" w:rsidRPr="00055AEC" w:rsidRDefault="009F12F8" w:rsidP="009F12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055AEC">
        <w:rPr>
          <w:rFonts w:eastAsia="Times New Roman" w:cs="Calibri"/>
          <w:sz w:val="21"/>
          <w:szCs w:val="21"/>
          <w:lang w:eastAsia="pl-PL"/>
        </w:rPr>
        <w:t>przedstawione przeze mnie informacje dotyczą naruszenia prawa</w:t>
      </w:r>
      <w:r>
        <w:rPr>
          <w:rFonts w:eastAsia="Times New Roman" w:cs="Calibri"/>
          <w:sz w:val="21"/>
          <w:szCs w:val="21"/>
          <w:lang w:eastAsia="pl-PL"/>
        </w:rPr>
        <w:t xml:space="preserve"> i </w:t>
      </w:r>
      <w:r>
        <w:t>jestem</w:t>
      </w:r>
      <w:r w:rsidRPr="009379EB">
        <w:t xml:space="preserve"> przekonan</w:t>
      </w:r>
      <w:r>
        <w:t>a/y</w:t>
      </w:r>
      <w:r w:rsidRPr="009379EB">
        <w:t xml:space="preserve"> o </w:t>
      </w:r>
      <w:r>
        <w:t xml:space="preserve">ich </w:t>
      </w:r>
      <w:r w:rsidRPr="009379EB">
        <w:t xml:space="preserve">prawdziwości w momencie dokonywania </w:t>
      </w:r>
      <w:r>
        <w:t>z</w:t>
      </w:r>
      <w:r w:rsidRPr="009379EB">
        <w:t>głoszenia</w:t>
      </w:r>
      <w:r w:rsidRPr="00055AEC">
        <w:rPr>
          <w:rFonts w:eastAsia="Times New Roman" w:cs="Calibri"/>
          <w:sz w:val="21"/>
          <w:szCs w:val="21"/>
          <w:lang w:eastAsia="pl-PL"/>
        </w:rPr>
        <w:t>;</w:t>
      </w:r>
    </w:p>
    <w:p w14:paraId="7DD676E1" w14:textId="77777777" w:rsidR="009F12F8" w:rsidRPr="00D4486E" w:rsidRDefault="009F12F8" w:rsidP="009F12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 w:val="21"/>
          <w:szCs w:val="21"/>
          <w:lang w:eastAsia="pl-PL"/>
        </w:rPr>
      </w:pPr>
      <w:r w:rsidRPr="00D4486E">
        <w:rPr>
          <w:rFonts w:eastAsia="Times New Roman" w:cs="Calibri"/>
          <w:sz w:val="21"/>
          <w:szCs w:val="21"/>
          <w:lang w:eastAsia="pl-PL"/>
        </w:rPr>
        <w:t>zapoznałam/em się z „</w:t>
      </w:r>
      <w:r w:rsidRPr="001344D3">
        <w:rPr>
          <w:rFonts w:cs="Calibri"/>
          <w:sz w:val="21"/>
          <w:szCs w:val="21"/>
        </w:rPr>
        <w:t>Procedurą zgłaszania naruszeń prawa i podejmowania działań następczych w Bibliotece Publicznej m.st. Warszawy – Bibliotece Głównej Województwa Mazowieckiego”</w:t>
      </w:r>
    </w:p>
    <w:p w14:paraId="279B8C80" w14:textId="77777777" w:rsidR="009F12F8" w:rsidRDefault="009F12F8" w:rsidP="009F12F8">
      <w:pPr>
        <w:spacing w:after="0" w:line="240" w:lineRule="auto"/>
        <w:rPr>
          <w:rFonts w:eastAsia="Times New Roman" w:cs="Calibri"/>
          <w:lang w:eastAsia="pl-PL"/>
        </w:rPr>
      </w:pPr>
    </w:p>
    <w:p w14:paraId="1569E098" w14:textId="77777777" w:rsidR="009F12F8" w:rsidRDefault="009F12F8" w:rsidP="009F12F8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19D9F5BF" w14:textId="77777777" w:rsidR="009F12F8" w:rsidRDefault="009F12F8" w:rsidP="009F12F8">
      <w:pPr>
        <w:spacing w:after="0" w:line="240" w:lineRule="auto"/>
        <w:jc w:val="right"/>
      </w:pPr>
    </w:p>
    <w:p w14:paraId="59B561A6" w14:textId="77777777" w:rsidR="009F12F8" w:rsidRDefault="009F12F8" w:rsidP="009F12F8">
      <w:pPr>
        <w:spacing w:after="0" w:line="240" w:lineRule="auto"/>
        <w:jc w:val="right"/>
        <w:rPr>
          <w:rFonts w:eastAsia="Times New Roman" w:cs="Calibri"/>
          <w:lang w:eastAsia="pl-PL"/>
        </w:rPr>
      </w:pPr>
      <w:r>
        <w:t>data: ………………/…….………./………………..………r.</w:t>
      </w:r>
    </w:p>
    <w:p w14:paraId="1E6FFF2A" w14:textId="77777777" w:rsidR="009F12F8" w:rsidRDefault="009F12F8" w:rsidP="009F12F8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499CAA46" w14:textId="77777777" w:rsidR="009F12F8" w:rsidRDefault="009F12F8" w:rsidP="009F12F8">
      <w:pPr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1A3D2C3A" w14:textId="77777777" w:rsidR="009F12F8" w:rsidRDefault="009F12F8" w:rsidP="009F12F8">
      <w:pPr>
        <w:spacing w:after="0" w:line="240" w:lineRule="auto"/>
        <w:rPr>
          <w:rFonts w:eastAsia="Times New Roman" w:cs="Calibri"/>
          <w:lang w:eastAsia="pl-PL"/>
        </w:rPr>
      </w:pPr>
    </w:p>
    <w:p w14:paraId="37D67D05" w14:textId="77777777" w:rsidR="009F12F8" w:rsidRPr="0089377E" w:rsidRDefault="009F12F8" w:rsidP="009F12F8">
      <w:pPr>
        <w:pStyle w:val="Bezodstpw"/>
        <w:ind w:left="4248"/>
        <w:rPr>
          <w:lang w:eastAsia="pl-PL"/>
        </w:rPr>
      </w:pPr>
      <w:r>
        <w:rPr>
          <w:lang w:eastAsia="pl-PL"/>
        </w:rPr>
        <w:t xml:space="preserve">           </w:t>
      </w:r>
      <w:r w:rsidRPr="0089377E">
        <w:rPr>
          <w:lang w:eastAsia="pl-PL"/>
        </w:rPr>
        <w:t xml:space="preserve">........................................................................................ </w:t>
      </w:r>
      <w:r w:rsidRPr="0089377E">
        <w:rPr>
          <w:lang w:eastAsia="pl-PL"/>
        </w:rPr>
        <w:br/>
      </w:r>
      <w:r>
        <w:rPr>
          <w:lang w:eastAsia="pl-PL"/>
        </w:rPr>
        <w:t xml:space="preserve">              </w:t>
      </w:r>
      <w:r w:rsidRPr="0089377E">
        <w:rPr>
          <w:lang w:eastAsia="pl-PL"/>
        </w:rPr>
        <w:t xml:space="preserve">czytelny podpis </w:t>
      </w:r>
      <w:r>
        <w:rPr>
          <w:lang w:eastAsia="pl-PL"/>
        </w:rPr>
        <w:t>Sygnalisty</w:t>
      </w:r>
    </w:p>
    <w:p w14:paraId="3A86FB63" w14:textId="77777777" w:rsidR="009F12F8" w:rsidRDefault="009F12F8" w:rsidP="009F12F8">
      <w:pPr>
        <w:spacing w:after="0" w:line="240" w:lineRule="auto"/>
        <w:ind w:left="4956"/>
        <w:rPr>
          <w:rFonts w:eastAsia="Times New Roman" w:cs="Calibri"/>
          <w:sz w:val="18"/>
          <w:szCs w:val="18"/>
          <w:lang w:eastAsia="pl-PL"/>
        </w:rPr>
      </w:pPr>
    </w:p>
    <w:p w14:paraId="6766E53F" w14:textId="77777777" w:rsidR="009F12F8" w:rsidRDefault="009F12F8" w:rsidP="009F12F8">
      <w:pPr>
        <w:spacing w:after="0" w:line="240" w:lineRule="auto"/>
        <w:rPr>
          <w:rFonts w:eastAsia="Times New Roman" w:cs="Calibri"/>
          <w:sz w:val="18"/>
          <w:szCs w:val="18"/>
          <w:lang w:eastAsia="pl-PL"/>
        </w:rPr>
      </w:pPr>
    </w:p>
    <w:p w14:paraId="71758B62" w14:textId="77777777" w:rsidR="009F12F8" w:rsidRPr="001344D3" w:rsidRDefault="009F12F8" w:rsidP="009F12F8">
      <w:pPr>
        <w:spacing w:after="0" w:line="240" w:lineRule="auto"/>
        <w:jc w:val="both"/>
        <w:rPr>
          <w:rFonts w:eastAsia="Times New Roman" w:cs="Calibri"/>
          <w:b/>
          <w:bCs/>
          <w:i/>
          <w:iCs/>
          <w:sz w:val="20"/>
          <w:szCs w:val="20"/>
          <w:lang w:eastAsia="pl-PL"/>
        </w:rPr>
      </w:pPr>
      <w:r w:rsidRPr="001344D3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*</w:t>
      </w:r>
      <w:r w:rsidRPr="001344D3">
        <w:rPr>
          <w:rFonts w:eastAsia="Times New Roman" w:cs="Calibri"/>
          <w:b/>
          <w:bCs/>
          <w:i/>
          <w:iCs/>
          <w:sz w:val="20"/>
          <w:szCs w:val="20"/>
          <w:lang w:eastAsia="pl-PL"/>
        </w:rPr>
        <w:t>właściwe zaznaczyć:</w:t>
      </w:r>
    </w:p>
    <w:p w14:paraId="641AB2A3" w14:textId="77777777" w:rsidR="00655C93" w:rsidRDefault="00655C93"/>
    <w:sectPr w:rsidR="00655C93" w:rsidSect="0067362F"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7185"/>
    <w:multiLevelType w:val="hybridMultilevel"/>
    <w:tmpl w:val="AFA60D66"/>
    <w:lvl w:ilvl="0" w:tplc="5414ED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77370"/>
    <w:multiLevelType w:val="hybridMultilevel"/>
    <w:tmpl w:val="6B2A8E22"/>
    <w:lvl w:ilvl="0" w:tplc="2A7E8640">
      <w:start w:val="1"/>
      <w:numFmt w:val="decimal"/>
      <w:lvlText w:val="%1."/>
      <w:lvlJc w:val="left"/>
      <w:pPr>
        <w:ind w:left="227" w:hanging="227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780E"/>
    <w:multiLevelType w:val="hybridMultilevel"/>
    <w:tmpl w:val="F342DBC0"/>
    <w:lvl w:ilvl="0" w:tplc="7D3613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6E6783"/>
    <w:multiLevelType w:val="hybridMultilevel"/>
    <w:tmpl w:val="A2C4D776"/>
    <w:lvl w:ilvl="0" w:tplc="5414ED8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0436936">
    <w:abstractNumId w:val="1"/>
  </w:num>
  <w:num w:numId="2" w16cid:durableId="461925044">
    <w:abstractNumId w:val="2"/>
  </w:num>
  <w:num w:numId="3" w16cid:durableId="2003508936">
    <w:abstractNumId w:val="3"/>
  </w:num>
  <w:num w:numId="4" w16cid:durableId="3224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F8"/>
    <w:rsid w:val="004B073D"/>
    <w:rsid w:val="00655C93"/>
    <w:rsid w:val="0067362F"/>
    <w:rsid w:val="00874D8F"/>
    <w:rsid w:val="0088195A"/>
    <w:rsid w:val="009C6ECA"/>
    <w:rsid w:val="009F12F8"/>
    <w:rsid w:val="00D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248"/>
  <w15:chartTrackingRefBased/>
  <w15:docId w15:val="{2CA6D902-F8D4-43FF-83C2-787C84DD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2F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2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2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2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2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2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2F8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F12F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pogrubienie">
    <w:name w:val="_P_ – pogrubienie"/>
    <w:qFormat/>
    <w:rsid w:val="009F12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</cp:revision>
  <dcterms:created xsi:type="dcterms:W3CDTF">2024-10-04T10:56:00Z</dcterms:created>
  <dcterms:modified xsi:type="dcterms:W3CDTF">2024-10-04T10:56:00Z</dcterms:modified>
</cp:coreProperties>
</file>